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TCGA-COAD cohort (N = 457)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457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(41.7%)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(58.3%)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(52.9%)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(47.1%)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(29.3%)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(17.1%)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(12.1%)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268 (58.8%)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(23.2%)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336 (84.0%)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 (56.4%)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(43.6%)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(65.7%)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(60.4%)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 (75.9%)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(24.1%)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329 (91.6%)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(7.2%)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389 (86.3%)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(13.7%)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(19.8%)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(24.3%)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(9.1%)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(48.2%)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 (51.8%)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2026-10-04T17:25:02Z</dcterms:modified>
  <cp:category/>
</cp:coreProperties>
</file>