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GSEA of HIST1H2AC High vs Low expression, TCGA-COAD (DESeq2 Wald statistic, design ~ tss + group). Hallmark: top 5 up and top 5 down by NES; all padj &lt; 0.05. Positive NES = enriched in High. Robust = same direction and padj &lt; 0.05 with design ~ group.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17"/>
        <w:gridCol w:w="3538"/>
        <w:gridCol w:w="652"/>
        <w:gridCol w:w="702"/>
        <w:gridCol w:w="805"/>
        <w:gridCol w:w="1702"/>
        <w:gridCol w:w="5428"/>
      </w:tblGrid>
      <w:tr>
        <w:trPr>
          <w:trHeight w:val="54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Collection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Size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padj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Robust (no covariate)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Leading edge (top 10)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HALLMARK_PROTEIN_SECRETION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TSG101, BET1, RAB14, SNAP23, COPB1, RAB5A, VPS45, STX7, SEC22B, CLN5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HALLMARK_E2F_TARGETS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TACC3, DNMT1, LIG1, HNRNPD, POLE, MKI67, TIMELESS, ILF3, MCM5, KIF18B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HALLMARK_G2M_CHECKPOINT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NSD2, CHAF1A, TACC3, KPNB1, HNRNPD, POLE, MKI67, INCENP, EWSR1, ILF3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HALLMARK_MYC_TARGETS_V2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MYBBP1A, TCOF1, MCM5, PPRC1, RRP12, PES1, PPAN, PUS1, NOLC1, GRWD1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HALLMARK_INTERFERON_ALPHA_RESPONSE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WARS1, GBP4, SLC25A28, LAP3, TAP1, CXCL11, IRF1, UBE2L6, PARP14, PSMB9</w:t>
            </w:r>
          </w:p>
        </w:tc>
      </w:tr>
      <w:tr>
        <w:trPr>
          <w:trHeight w:val="52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HALLMARK_INTERFERON_GAMMA_RESPONSE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-2.54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WARS1, RNF213, PML, GBP4, IDO1, NLRC5, CIITA, SLC25A28, LAP3, TAP1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2026-10-04T17:34:28Z</dcterms:modified>
  <cp:category/>
</cp:coreProperties>
</file>