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HIST1H2AC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132.0 (106.0–NR)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(74.1–84.1)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70.2% (64.6–76.2)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183.0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(71.8–82.1)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64.7% (58.9–71.2)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75.8% (69.9–82.3)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66.4% (59.8–73.8)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77.0% (71.7–82.8)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64.0% (57.7–71.1)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76.9% (71.6–82.5)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(65.2–77.3)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71.5% (65.9–77.7)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69.3% (63.5–75.7)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(65.4–79.2)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66.2% (59.2–74.0)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68.9% (62.6–76.0)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66.4% (59.8–73.6)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2026-10-04T17:37:38Z</dcterms:modified>
  <cp:category/>
</cp:coreProperties>
</file>