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External validation of HIST1H2AC expression (High vs Low, median split of probe 215071_s_at within tumors) in GSE39582 (CIT, colon). HR from Cox regression; multivariable and time-split gene HRs are per 1 log2 unit of expression; multivariable models adjusted for age group, years, sex and pathologic stage group; '+ MMR status' additionally adjusts for mmr status and '(MMR status known)' is the model without it on the same patients. Interaction p = likelihood-ratio test for HIST1H2AC expression × mmr status. Time-split HRs (0–24 / &gt;24 months, adjusted) are shown only when the gene term violated proportional hazards. RMST difference = High − Low restricted mean survival time up to 60 months. Relapse-free survival excludes stage 4. Direction compared with the TCGA-COAD multivariable HR 1.27.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04"/>
        <w:gridCol w:w="1064"/>
        <w:gridCol w:w="2705"/>
        <w:gridCol w:w="621"/>
        <w:gridCol w:w="815"/>
        <w:gridCol w:w="1344"/>
        <w:gridCol w:w="726"/>
        <w:gridCol w:w="726"/>
        <w:gridCol w:w="1262"/>
        <w:gridCol w:w="1441"/>
        <w:gridCol w:w="1192"/>
        <w:gridCol w:w="1091"/>
        <w:gridCol w:w="3109"/>
        <w:gridCol w:w="928"/>
        <w:gridCol w:w="2028"/>
        <w:gridCol w:w="1840"/>
      </w:tblGrid>
      <w:tr>
        <w:trPr>
          <w:trHeight w:val="54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Endpoint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PH p (gene term)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Interaction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Direction as TCGA-COAD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Exploratory (EPV &lt; 10)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1.11 (0.84–1.48)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-1.34 (-4.33, 1.66)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1.15 (0.99–1.32)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1.10 (0.95–1.27)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1.08 (0.93–1.26)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1.08 (0.92–1.25)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0.98 (0.72–1.34)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-0.19 (-3.66, 3.27)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1.08 (0.93–1.27)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1.07 (0.91–1.25)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1.17 (0.84–1.63)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-2.26 (-5.96,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1.13 (0.96–1.33)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1.07 (0.90–1.26)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1.07 (0.90–1.27)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1.04 (0.88–1.24)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1.09 (0.76–1.55)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-1.18 (-5.52, 3.16)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1.06 (0.89–1.27)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2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1.03 (0.86–1.24)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30.5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2026-10-04T17:37:37Z</dcterms:modified>
  <cp:category/>
</cp:coreProperties>
</file>