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 (0.21–1.20)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3.39 (0.91–12.63)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(0.22–2.51)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1.54 (0.49–4.90)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(0.55–6.11)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2026-10-04T17:27:35Z</dcterms:modified>
  <cp:category/>
</cp:coreProperties>
</file>