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 (0.59–2.16)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3.57 (0.97–13.11)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 (0.49–5.00)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1.64 (0.51–5.23)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2026-10-04T17:27:56Z</dcterms:modified>
  <cp:category/>
</cp:coreProperties>
</file>