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(0.97–13.29)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(0.50–4.88)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(0.56–6.26)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2026-10-04T17:27:45Z</dcterms:modified>
  <cp:category/>
</cp:coreProperties>
</file>