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MAD2L1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(0.35–1.59)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3.78 (1.03–13.90)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(0.26–2.86)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 (0.47–4.79)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(0.51–5.44)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2026-10-04T17:27:58Z</dcterms:modified>
  <cp:category/>
</cp:coreProperties>
</file>