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(0.44–1.59)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3.73 (1.01–13.81)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(0.27–3.01)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(0.53–5.28)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1.55 (0.49–4.97)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2026-10-04T17:27:51Z</dcterms:modified>
  <cp:category/>
</cp:coreProperties>
</file>