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(0.92–3.40)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4.72 (1.25–17.88)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(0.39–4.07)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 (0.52–5.49)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2026-10-04T17:27:38Z</dcterms:modified>
  <cp:category/>
</cp:coreProperties>
</file>