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TCGA-READ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(0.34–1.64)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 (0.16–0.87)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 (0.19–0.69)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2.58 (1.10–6.03)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1.81 (1.16–2.82)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(0.29–1.43)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(0.53–1.30)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(0.32–1.65)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(0.45–2.53)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(0.25–1.23)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(0.43–1.24)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(0.32–1.22)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(0.39–1.94)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(0.87–1.72)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(0.19–1.00)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(0.45–1.14)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(0.68–1.01)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2.73 (1.17–6.40)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1.36 (0.88–2.09)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 (0.18–0.92)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(0.34–1.03)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4.50 (1.68–12.03)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(0.54–2.60)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 (1.20–7.18)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 (0.50–4.64)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2026-10-04T17:28:03Z</dcterms:modified>
  <cp:category/>
</cp:coreProperties>
</file>