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(67.9–92.7)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16.6% (3.1–89.0)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(82.6–98.1)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72.3% (54.4–96.1)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2026-10-04T17:28:01Z</dcterms:modified>
  <cp:category/>
</cp:coreProperties>
</file>