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FBXW7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[58.0,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(91.2%)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(87.8%)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(94.8%)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2026-10-04T17:26:38Z</dcterms:modified>
  <cp:category/>
</cp:coreProperties>
</file>