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MS4A1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MS4A1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(44.6%)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0.913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(68.4%)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0.913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(84.7%)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(84.1%)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0.566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(63.3%)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(56.1%)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(40.6%)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(43.9%)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(60.3%)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(40.9%)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(39.7%)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(74.3%)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(75.0%)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(73.6%)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(90.6%)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(90.3%)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(90.9%)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(89.5%)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(93.3%)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(29.9%)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(67.5%)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(64.1%)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(46.3%)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(53.7%)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2026-10-04T17:26:53Z</dcterms:modified>
  <cp:category/>
</cp:coreProperties>
</file>