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GSEA of HIST1H2AC High vs Low expression, TCGA-READ (DESeq2 Wald statistic, design ~ tss + group). Hallmark: top 5 up and top 5 down by NES; all padj &lt; 0.05. Positive NES = enriched in High. Robust = same direction and padj &lt; 0.05 with design ~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17"/>
        <w:gridCol w:w="4136"/>
        <w:gridCol w:w="652"/>
        <w:gridCol w:w="702"/>
        <w:gridCol w:w="805"/>
        <w:gridCol w:w="1702"/>
        <w:gridCol w:w="5623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Collection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Robust (no covariate)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Leading edge (top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HALLMARK_INTERFERON_ALPHA_RESPONSE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TXNIP, ELF1, TDRD7, IFI44, IFIT2, EPSTI1, IFIT3, IFI44L, B2M, SP110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HALLMARK_INTERFERON_GAMMA_RESPONSE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TXNIP, TDRD7, TNFSF10, IFIT1, IFI44, OAS2, PELI1, RIPK1, IFIT2, EPSTI1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HALLMARK_PANCREAS_BETA_CELLS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STXBP1, DPP4, SPCS1, SRP9, LMO2, ISL1, FOXO1, PDX1, CHGA, SCGN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HALLMARK_PROTEIN_SECRETION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VAMP4, ARFGAP3, ICA1, TSPAN8, STX12, TPD52, SEC22B, VAMP3, RAB14, RAB5A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HALLMARK_HEME_METABOLISM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ABCG2, MXI1, AQP3, ALAD, RIOK3, SNCA, ISCA1, CTSE, OPTN, YPEL5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HALLMARK_E2F_TARGETS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KIF18B, SMC1A, BRCA1, ILF3, HNRNPD, ESPL1, HMGB3, BUB1B, DNMT1, LYAR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HALLMARK_MYC_TARGETS_V2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LAS1L, BYSL, GRWD1, MCM5, PHB1, PUS1, PLK1, PES1, MYBBP1A, NOP2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HALLMARK_G2M_CHECKPOINT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SMC1A, INCENP, NSD2, CHAF1A, ILF3, HNRNPD, ESPL1, HMGB3, LIG3, POLE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HALLMARK_MYC_TARGETS_V1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HNRNPD, PPM1G, CAD, PSMD3, KPNB1, CDC45, PSMA7, TRIM28, MCM7, RUVBL2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HALLMARK_EPITHELIAL_MESENCHYMAL_TRANSITION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WNT5A, COL7A1, NID2, PRSS2, PVR, MCM7, FN1, BMP1, COL4A1, COL6A2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2026-10-04T17:37:18Z</dcterms:modified>
  <cp:category/>
</cp:coreProperties>
</file>