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(0.57–1.30)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(0.67–1.54)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(0.78–6.37)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4.53 (1.59–12.94)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14.33 (4.99–41.20)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2026-09-27T11:24:40Z</dcterms:modified>
  <cp:category/>
</cp:coreProperties>
</file>