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 (0.70–1.61)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(1.15–1.66)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(0.66–1.52)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2.22 (0.77–6.34)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4.45 (1.56–12.69)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14.09 (4.90–40.49)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2026-09-27T11:24:42Z</dcterms:modified>
  <cp:category/>
</cp:coreProperties>
</file>