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(0.66–5.43)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 (1.43–11.65)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13.39 (4.65–38.54)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2026-09-27T11:25:01Z</dcterms:modified>
  <cp:category/>
</cp:coreProperties>
</file>