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(0.62–1.43)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(1.15–1.66)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 (0.77–6.31)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4.45 (1.56–12.67)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14.32 (4.97–41.25)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2026-09-27T11:24:50Z</dcterms:modified>
  <cp:category/>
</cp:coreProperties>
</file>