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(0.37–0.87)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(0.74–6.05)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4.38 (1.54–12.47)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 (5.14–42.42)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2026-09-27T11:24:58Z</dcterms:modified>
  <cp:category/>
</cp:coreProperties>
</file>