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TCGA-COAD.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1"/>
        <w:gridCol w:w="921"/>
        <w:gridCol w:w="68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92.7 (62.7–NR)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77.9% (71.5–84.8)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67.8% (58.4–78.8)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78.4% (71.7–85.6)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62.5% (52.0–75.1)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80.1% (74.1–86.6)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68.6% (59.1–79.7)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76.1% (69.1–83.7)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60.2% (49.2–73.6)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81.3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73.7% (66.8–81.4)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61.6% (50.8–74.8)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82.6% (76.7–88.9)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67.8% (58.0–79.4)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76.8% (70.1–84.1)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64.2% (54.5–75.7)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(73.7–86.3)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65.4% (54.7–78.2)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79.7% (73.4–86.5)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68.2% (58.7–79.3)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76.7% (70.1–84.0)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61.6% (50.9–74.5)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(74.6–88.3)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71.0% (61.3–82.2)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75.0% (68.6–81.9)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57.9% (47.0–71.2)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77.7% (71.3–84.6)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63.6% (52.8–76.7)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78.7% (72.2–85.9)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65.7% (56.0–77.2)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73.9% (67.2–81.2)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57.3% (47.1–69.7)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82.2% (75.9–89.0)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72.5% (62.6–84.0)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74.7% (68.2–81.8)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58.4% (48.8–69.9)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(99.9–NR)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(74.1–88.5)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73.3% (63.2–85.1)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2026-09-27T11:25:04Z</dcterms:modified>
  <cp:category/>
</cp:coreProperties>
</file>