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 (per 10 years), sex and pathologic stage. q = Benjamini–Hochberg across exploratory genes only; the primary gene (MS4A1)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 (0.40–0.92)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(0.35–0.85)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 (0.31–0.81)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4.88 (0.60, 9.17)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92.7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(0.55–1.40)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(-3.39, 5.26)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1.19 (0.79–1.77)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(0.70–1.61)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1.11 (0.73–1.71)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-1.92 (-6.23, 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 (0.45–1.00)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(0.57–1.42)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3.70 (-0.59, 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0.81 (0.54–1.20)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0.79 (0.51–1.25)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1.45 (-2.83, 5.74)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 (0.59–1.44)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-1.02 (-5.32,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1.73 (1.15–2.61)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1.70 (1.11–2.60)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1.69 (1.07–2.67)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-5.67 (-9.97, -1.38)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(0.53–1.19)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0.81 (0.51–1.27)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(-3.87, 4.71)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(0.42–0.94)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(0.37–0.87)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(0.39–0.99)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5.89 (1.63, 10.15)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2026-09-27T11:25:04Z</dcterms:modified>
  <cp:category/>
</cp:coreProperties>
</file>