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BRCA1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[56.5,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(81.3%)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(75.7%)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(77.1%)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2026-09-27T11:20:13Z</dcterms:modified>
  <cp:category/>
</cp:coreProperties>
</file>