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 (42.0%)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 (58.0%)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203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(39.6%)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299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256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322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(81.7%)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187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(64.9%)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288 (76.4%)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(74.6%)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316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(88.9%)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373 (86.5%)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(19.8%)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(24.0%)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(50.1%)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(51.2%)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2026-09-27T11:20:58Z</dcterms:modified>
  <cp:category/>
</cp:coreProperties>
</file>