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(39.8%)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(62.1%)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(60.2%)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2026-09-27T11:20:48Z</dcterms:modified>
  <cp:category/>
</cp:coreProperties>
</file>