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TCGA-COAD cohort (N = 454)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454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(41.7%)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 (58.3%)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 (47.0%)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176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(29.3%)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309 (68.2%)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(12.1%)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(58.7%)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333 (83.9%)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(16.1%)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 (56.3%)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(43.7%)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 (65.5%)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(34.5%)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(60.1%)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(39.9%)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297 (75.8%)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(24.2%)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327 (85.8%)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388 (86.6%)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(19.5%)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(34.6%)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(9.2%)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(48.5%)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(51.5%)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2026-09-27T11:19:50Z</dcterms:modified>
  <cp:category/>
</cp:coreProperties>
</file>