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 (0.22–1.31)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2.29 (1.32–3.97)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(0.37–2.07)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(1.18–7.26)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2026-09-27T11:25:11Z</dcterms:modified>
  <cp:category/>
</cp:coreProperties>
</file>