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(1.47–4.21)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(0.43–2.28)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3.16 (1.25–7.99)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2026-09-27T11:25:19Z</dcterms:modified>
  <cp:category/>
</cp:coreProperties>
</file>