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MS4A1 expression, TCGA-READ (n = 149, events = 23, EPV = 5.8;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 (0.13–0.89)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2.19 (1.30–3.68)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 (0.34–1.93)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2.64 (1.07–6.52)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2026-09-27T11:25:32Z</dcterms:modified>
  <cp:category/>
</cp:coreProperties>
</file>