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(0.24–1.62)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2.20 (1.25–3.86)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(0.42–2.28)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(1.10–6.75)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2026-09-27T11:25:29Z</dcterms:modified>
  <cp:category/>
</cp:coreProperties>
</file>