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Univariable Cox regression for overall survival, TCGA-READ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145"/>
        <w:gridCol w:w="681"/>
        <w:gridCol w:w="931"/>
        <w:gridCol w:w="170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(0.34–1.66)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BRAF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(0.26–1.58)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 (0.17–0.88)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 (0.19–0.70)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2.54 (1.09–5.96)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1.80 (1.15–2.81)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(0.29–1.45)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(0.54–1.31)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(0.32–1.63)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FBXW7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(0.43–2.48)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(0.25–1.25)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(0.44–1.25)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 (0.24–1.24)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 (0.32–1.23)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 (0.38–1.92)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(0.86–1.71)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 (0.19–1.01)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(0.45–1.15)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 (0.13–0.77)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(0.68–1.02)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(1.47–3.71)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(0.55–2.64)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1.25 (0.24–6.48)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2.39 (0.50–11.46)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6.24 (1.31–29.62)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2.98 (1.22–7.30)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2026-09-27T11:25:36Z</dcterms:modified>
  <cp:category/>
</cp:coreProperties>
</file>