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89.5% (82.3–97.4)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(36.4–88.3)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91.1% (83.8–99.1)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65.8% (46.2–93.6)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(82.7–98.1)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(68.4–96.1)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85.3% (76.7–95.0)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75.9% (62.2–92.6)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(75.9–96.6)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31.2% (7.3–100.0)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89.0% (81.6–97.2)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71.4% (54.5–93.5)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(83.4–97.4)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72.0% (54.9–94.3)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83.2% (73.8–93.7)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52.9% (30.1–93.1)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88.3% (80.4–97.1)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69.8% (51.7–94.2)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93.4% (87.2–100.0)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(49.1–100.0)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2026-09-27T11:25:35Z</dcterms:modified>
  <cp:category/>
</cp:coreProperties>
</file>