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 by gene expression (High vs Low), TCGA-READ. HR from Cox regression; multivariable model adjusted for age (per 10 years), sex and pathologic stage. q = Benjamini–Hochberg across exploratory genes only; the primary gene (MS4A1) is reported with its unadjusted p. Time-split HRs (0–24 / &gt;24 months, adjusted) are shown only for genes whose expression term violated proportional hazards. RMST difference = High − Low restricted mean survival time up to 60 months.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31"/>
        <w:gridCol w:w="964"/>
        <w:gridCol w:w="591"/>
        <w:gridCol w:w="757"/>
        <w:gridCol w:w="2204"/>
        <w:gridCol w:w="2231"/>
        <w:gridCol w:w="994"/>
        <w:gridCol w:w="994"/>
        <w:gridCol w:w="1741"/>
        <w:gridCol w:w="1114"/>
        <w:gridCol w:w="1114"/>
        <w:gridCol w:w="1841"/>
        <w:gridCol w:w="1214"/>
        <w:gridCol w:w="1214"/>
        <w:gridCol w:w="651"/>
        <w:gridCol w:w="1141"/>
        <w:gridCol w:w="1747"/>
        <w:gridCol w:w="1121"/>
        <w:gridCol w:w="1017"/>
        <w:gridCol w:w="1564"/>
        <w:gridCol w:w="937"/>
        <w:gridCol w:w="1512"/>
        <w:gridCol w:w="886"/>
        <w:gridCol w:w="2724"/>
        <w:gridCol w:w="854"/>
        <w:gridCol w:w="1636"/>
        <w:gridCol w:w="651"/>
      </w:tblGrid>
      <w:tr>
        <w:trPr>
          <w:trHeight w:val="5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Median OS Low,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Median OS High,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Log-rank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Log-rank 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Univariable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Univariable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Univariable 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Multivariable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Multivariable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Multivariable 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EPV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Stage 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Strata(TSS)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Strata(TSS)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PH global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HR 0–24 mo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 0–24 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HR &gt;24 mo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 &gt;24 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RMST difference at 60 mo,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RMST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Exploratory (EPV &lt; 10)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Note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MS4A1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51.4 (43.2–NR)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(51.9–NR)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0.32 (0.13–0.77)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0.34 (0.13–0.89)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I–II vs III–IV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0.21 (0.07–0.64)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9.11 (2.16, 16.06)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51.9 (51.4–NR)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(57.2–NR)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0.75 (0.34–1.66)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0.78 (0.33–1.84)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I–II vs 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0.70 (0.29–1.69)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2.78 (-4.26, 9.82)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BRCA1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57.2 (41.3–NR)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(51.9–NR)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0.38 (0.17–0.88)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0.53 (0.22–1.31)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I–II vs 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0.57 (0.23–1.41)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7.75 (0.80, 14.70)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TIMP1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51.4 (43.2–NR)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2.54 (1.09–5.96)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1.91 (0.76–4.83)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I–II vs 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1.75 (0.68–4.51)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1.07 (0.34–3.34)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4.50 (0.92–21.97)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-8.34 (-14.89, -1.79)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51.4 (47.0–NR)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0.65 (0.29–1.45)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1.05 (0.44–2.49)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I–II vs 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0.90 (0.34–2.38)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2.05 (0.65–6.42)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0.36 (0.07–1.77)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4.71 (-2.00, 11.43)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FBXW7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51.9 (43.2–NR)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(51.4–NR)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0.72 (0.32–1.63)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 (0.22–1.33)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I–II vs 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0.44 (0.15–1.27)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4.09 (-3.61, 11.80)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KRAS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51.9 (51.4–NR)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0.56 (0.25–1.25)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0.68 (0.28–1.65)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I–II vs 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0.62 (0.24–1.58)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5.25 (-1.71, 12.21)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PIK3CA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51.9 (51.4–NR)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0.55 (0.24–1.24)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0.75 (0.30–1.87)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I–II vs 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0.66 (0.24–1.80)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5.61 (-1.19, 12.41)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(51.9–NR)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(47.0–NR)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0.86 (0.38–1.92)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0.88 (0.37–2.07)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I–II vs 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1.01 (0.39–2.58)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 (-6.75, 7.15)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50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ROCK2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51.4 (41.3–NR)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(NR–NR)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0.44 (0.19–1.01)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0.63 (0.24–1.62)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I–II vs 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0.46 (0.16–1.34)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7.67 (0.55, 14.78)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2026-09-27T11:25:34Z</dcterms:modified>
  <cp:category/>
</cp:coreProperties>
</file>