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[60.0,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(91.2%)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(83.1%)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(92.0%)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2026-09-27T11:21:12Z</dcterms:modified>
  <cp:category/>
</cp:coreProperties>
</file>