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TCGA-READ cohort (N = 169)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169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72.5]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(48.8%)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(51.2%)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(54.8%)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(45.2%)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(20.4%)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(68.3%)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(26.7%)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(21.2%)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(85.5%)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(52.5%)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(47.5%)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(57.9%)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(42.1%)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(55.6%)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(44.4%)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(74.0%)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(87.6%)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(92.0%)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(30.1%)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(66.9%)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(40.7%)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(59.3%)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2026-09-27T11:21:06Z</dcterms:modified>
  <cp:category/>
</cp:coreProperties>
</file>