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BRCA1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[59.0,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[56.5,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(61.6%)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(45.4%)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 (81.3%)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(68.1%)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(31.9%)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(75.7%)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(77.1%)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(87.4%)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352 (88.0%)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(90.8%)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 (85.4%)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359 (92.8%)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(94.8%)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 (90.8%)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2026-09-27T03:21:12Z</dcterms:modified>
  <cp:category/>
</cp:coreProperties>
</file>