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(81.7%)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(74.6%)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(84.6%)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(88.9%)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(51.2%)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352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(79.3%)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(96.5%)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(92.8%)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(87.4%)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(98.0%)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2026-09-27T03:21:34Z</dcterms:modified>
  <cp:category/>
</cp:coreProperties>
</file>