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Clinical characteristics of TCGA-COAD patients by ROCK2 expression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967"/>
        <w:gridCol w:w="2001"/>
        <w:gridCol w:w="2001"/>
        <w:gridCol w:w="2001"/>
        <w:gridCol w:w="1181"/>
      </w:tblGrid>
      <w:tr>
        <w:trPr>
          <w:trHeight w:val="460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ROCK2 expression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trHeight w:val="676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436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216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220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68.0 [58.0, 77.0]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69.0 [58.0, 77.0]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67.5 [57.0, 77.0]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0.529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0.366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183 (42.0%)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86 (39.8%)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97 (44.1%)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253 (58.0%)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130 (60.2%)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123 (55.9%)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0.493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233 (53.4%)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119 (55.1%)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114 (51.8%)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203 (46.6%)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97 (44.9%)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106 (48.2%)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0.712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 (16.6%)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 (15.2%)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 (18.1%)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169 (39.6%)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 (42.2%)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 (37.0%)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127 (29.7%)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 (28.9%)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 (30.6%)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 (14.1%)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 (13.7%)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 (14.4%)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74 (17.0%)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 (16.2%)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 (17.7%)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299 (68.6%)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151 (69.9%)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148 (67.3%)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 (11.7%)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 (10.6%)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 (12.7%)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0.497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256 (58.7%)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128 (59.3%)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128 (58.2%)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104 (23.9%)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 (21.8%)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 (25.9%)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76 (17.4%)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 (19.0%)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 (15.9%)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0.615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322 (84.3%)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167 (85.2%)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155 (83.3%)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 (15.7%)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 (14.8%)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 (16.7%)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0.639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240 (56.2%)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121 (57.3%)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119 (55.1%)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187 (43.8%)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 (42.7%)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97 (44.9%)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Pretreatment CEA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0.362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≤5 ng/mL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179 (64.9%)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 (62.1%)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97 (67.4%)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&gt;5 ng/mL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97 (35.1%)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 (37.9%)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 (32.6%)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Lymphovascular invasion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0.102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241 (61.5%)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112 (57.4%)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129 (65.5%)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151 (38.5%)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83 (42.6%)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 (34.5%)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Vascular invasion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288 (76.4%)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141 (75.8%)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147 (77.0%)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 (23.6%)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 (24.2%)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 (23.0%)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Residual 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316 (86.8%)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166 (90.7%)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150 (82.9%)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 (5.8%)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 (6.3%)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 (10.5%)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Histology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0.485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Colon Adenocarcinoma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373 (86.5%)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181 (85.4%)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192 (87.7%)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Colon Mucinous Adenocarcinoma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 (13.5%)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 (14.6%)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 (12.3%)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Tumor site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0.672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Ascending Colon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83 (19.8%)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 (22.2%)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 (17.5%)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Cecum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101 (24.0%)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 (21.7%)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 (26.3%)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Descending Colon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 (4.5%)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Hepatic Flexure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 (6.4%)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 (7.9%)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Rectosigmoid Junction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Sigmoid Colon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144 (34.3%)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 (33.0%)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 (35.5%)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Splenic Flexure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Transverse Colon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 (9.0%)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 (9.4%)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 (8.8%)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Tumor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Tumor free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196 (50.1%)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76 (39.8%)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120 (60.0%)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With 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195 (49.9%)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115 (60.2%)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 (40.0%)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KRAS testing performed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0.676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352 (88.0%)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172 (87.3%)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180 (88.7%)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 (12.0%)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 (12.7%)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 (11.3%)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BRAF testing performed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359 (92.8%)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174 (91.1%)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185 (94.4%)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 (7.2%)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 (8.9%)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[Q1, Q3]; 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Wilcoxon rank sum test; Pearson's chi-squared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2026-09-27T03:21:30Z</dcterms:modified>
  <cp:category/>
</cp:coreProperties>
</file>