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TIMP1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[56.5, 76.5]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[58.5,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110 (50.9%)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(40.2%)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(30.5%)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(70.5%)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158 (84.0%)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164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(66.4%)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(63.3%)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(33.6%)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(36.7%)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(80.1%)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(72.8%)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(86.3%)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(80.8%)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352 (88.0%)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176 (85.4%)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176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359 (92.8%)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(90.0%)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 (95.7%)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(10.0%)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2026-09-27T03:21:23Z</dcterms:modified>
  <cp:category/>
</cp:coreProperties>
</file>