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the TCGA-COAD cohort (N = 454)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 = 454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(41.7%)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264 (58.3%)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 (53.0%)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 (47.0%)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(16.7%)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176 (39.6%)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(29.3%)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(14.4%)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309 (68.2%)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 (12.1%)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266 (58.7%)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(23.4%)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(17.9%)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333 (83.9%)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(16.1%)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250 (56.3%)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(43.7%)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186 (65.5%)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 (34.5%)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(60.1%)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(39.9%)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297 (75.8%)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(24.2%)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327 (85.8%)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(6.8%)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(6.3%)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388 (86.6%)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(19.5%)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(24.3%)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(34.6%)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(9.2%)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(48.5%)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(51.5%)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368 (88.5%)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(11.5%)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375 (93.1%)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(6.9%)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2026-09-27T03:20:59Z</dcterms:modified>
  <cp:category/>
</cp:coreProperties>
</file>