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APC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APC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65.5 [57.0, 72.5]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[61.0, 74.0]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62.0 [54.0, 72.0]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0.150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(55.7%)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0.408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(56.4%)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(59.7%)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(43.6%)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(40.3%)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(28.6%)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(38.4%)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(16.9%)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(68.4%)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(60.3%)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(76.6%)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(57.1%)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(27.5%)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(20.3%)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0.981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(85.0%)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(84.9%)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(85.1%)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(15.0%)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(47.3%)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(50.7%)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(59.4%)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(68.5%)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(40.6%)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(31.5%)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(59.7%)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(50.7%)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(69.1%)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(40.3%)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(30.9%)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(75.0%)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(69.0%)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(81.5%)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(31.0%)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0.499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(87.2%)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(88.4%)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(85.9%)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137 (91.3%)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(96.0%)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 (86.7%)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(65.6%)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(73.4%)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(43.5%)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(30.1%)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(56.5%)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(69.9%)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(41.5%)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KRAS testing performed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125 (89.9%)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(90.7%)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(89.1%)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BRAF testing performed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0.727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130 (94.2%)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(93.3%)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(95.2%)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MMR IHC performed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(93.5%)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 (95.5%)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(91.2%)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2026-09-27T03:21:47Z</dcterms:modified>
  <cp:category/>
</cp:coreProperties>
</file>