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BRAF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[59.0,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64.5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(70.1%)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(87.5%)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(68.0%)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(50.9%)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(49.1%)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(63.4%)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(70.6%)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(78.3%)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(90.0%)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(90.3%)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(94.2%)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(94.0%)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MMR IHC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(93.6%)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(92.4%)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(94.9%)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2026-09-27T03:21:38Z</dcterms:modified>
  <cp:category/>
</cp:coreProperties>
</file>