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FBXW7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(85.1%)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(60.7%)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(43.1%)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(90.0%)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(84.6%)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(97.3%)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(88.0%)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2026-09-27T03:21:50Z</dcterms:modified>
  <cp:category/>
</cp:coreProperties>
</file>