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MS4A1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MS4A1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66.5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0.423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(68.4%)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(27.5%)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(15.0%)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0.624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0.887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(87.2%)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(91.3%)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(89.5%)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(65.6%)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(67.5%)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KRAS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125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(92.9%)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BRAF testing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 (94.2%)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MMR IHC performed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2026-09-27T03:22:06Z</dcterms:modified>
  <cp:category/>
</cp:coreProperties>
</file>