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TP53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70.0]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(73.1%)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(64.3%)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(73.5%)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(88.0%)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(89.3%)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(89.9%)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(91.2%)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(94.2%)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(91.0%)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(97.2%)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MMR IHC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(89.8%)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(96.9%)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2026-09-27T03:22:00Z</dcterms:modified>
  <cp:category/>
</cp:coreProperties>
</file>