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(0.78–6.37)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4.53 (1.59–12.94)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14.33 (4.99–41.20)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2026-09-27T14:17:35Z</dcterms:modified>
  <cp:category/>
</cp:coreProperties>
</file>