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MS4A1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96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 (0.35–0.85)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1.37 (1.14–1.64)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(0.66–1.52)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1.89 (0.66–5.43)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4.08 (1.43–11.65)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13.39 (4.65–38.54)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2026-09-27T14:17:53Z</dcterms:modified>
  <cp:category/>
</cp:coreProperties>
</file>