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 (0.37–0.87)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(0.74–6.05)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4.38 (1.54–12.47)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14.77 (5.14–42.42)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2026-09-27T14:17:50Z</dcterms:modified>
  <cp:category/>
</cp:coreProperties>
</file>