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(0.76–6.23)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4.40 (1.55–12.55)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13.68 (4.76–39.36)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2026-09-27T14:17:48Z</dcterms:modified>
  <cp:category/>
</cp:coreProperties>
</file>