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(0.66–1.15)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 (0.92–1.85)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(1.09–1.74)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(0.72–1.12)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(1.00–1.40)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(0.58–1.30)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(0.79–6.46)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3.79 (1.33–10.78)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11.20 (3.94–31.84)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(1.89–4.46)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2026-09-27T14:17:57Z</dcterms:modified>
  <cp:category/>
</cp:coreProperties>
</file>